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1B15B" w14:textId="77777777" w:rsidR="00884875" w:rsidRDefault="00000000">
      <w:pPr>
        <w:spacing w:after="360"/>
        <w:rPr>
          <w:b/>
          <w:bCs/>
          <w:sz w:val="44"/>
          <w:szCs w:val="44"/>
        </w:rPr>
      </w:pPr>
      <w:proofErr w:type="spellStart"/>
      <w:r>
        <w:rPr>
          <w:b/>
          <w:bCs/>
          <w:sz w:val="44"/>
          <w:szCs w:val="44"/>
        </w:rPr>
        <w:t>Bevruchting</w:t>
      </w:r>
      <w:proofErr w:type="spellEnd"/>
      <w:r>
        <w:rPr>
          <w:b/>
          <w:bCs/>
          <w:sz w:val="44"/>
          <w:szCs w:val="44"/>
        </w:rPr>
        <w:t>?</w:t>
      </w:r>
    </w:p>
    <w:p w14:paraId="2D5DD7B0" w14:textId="77777777" w:rsidR="00884875" w:rsidRDefault="00000000">
      <w:pPr>
        <w:spacing w:after="180"/>
        <w:jc w:val="center"/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F8B7A57" wp14:editId="44E12AE1">
            <wp:extent cx="2983112" cy="1612850"/>
            <wp:effectExtent l="0" t="0" r="0" b="0"/>
            <wp:docPr id="14" name="image4.jpg" descr="Bed, Sleeping, Couple, Covered, Cover, White, Tw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Bed, Sleeping, Couple, Covered, Cover, White, Tw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112" cy="161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28366F" w14:textId="77777777" w:rsidR="00884875" w:rsidRPr="002968C3" w:rsidRDefault="00000000">
      <w:pPr>
        <w:spacing w:before="360" w:after="180"/>
        <w:rPr>
          <w:lang w:val="nl-NL"/>
        </w:rPr>
      </w:pPr>
      <w:r w:rsidRPr="002968C3">
        <w:rPr>
          <w:lang w:val="nl-NL"/>
        </w:rPr>
        <w:t>De stellingen in de onderstaande tabel gaan allemaal over bevruchting.</w:t>
      </w:r>
    </w:p>
    <w:p w14:paraId="15BCFC58" w14:textId="77777777" w:rsidR="00884875" w:rsidRPr="002968C3" w:rsidRDefault="00000000">
      <w:pPr>
        <w:spacing w:after="180"/>
        <w:rPr>
          <w:lang w:val="nl-NL"/>
        </w:rPr>
      </w:pPr>
      <w:r w:rsidRPr="002968C3">
        <w:rPr>
          <w:lang w:val="nl-NL"/>
        </w:rPr>
        <w:t>Kijk naar de stellingen in de tabel. Sommige zijn juist en sommige zijn onjuist.</w:t>
      </w:r>
    </w:p>
    <w:p w14:paraId="0E298268" w14:textId="77777777" w:rsidR="00884875" w:rsidRPr="002968C3" w:rsidRDefault="00000000">
      <w:pPr>
        <w:spacing w:after="180"/>
        <w:rPr>
          <w:lang w:val="nl-NL"/>
        </w:rPr>
      </w:pPr>
      <w:r w:rsidRPr="002968C3">
        <w:rPr>
          <w:lang w:val="nl-NL"/>
        </w:rPr>
        <w:t xml:space="preserve">Zet </w:t>
      </w:r>
      <w:r w:rsidRPr="002968C3">
        <w:rPr>
          <w:b/>
          <w:bCs/>
          <w:lang w:val="nl-NL"/>
        </w:rPr>
        <w:t xml:space="preserve">één </w:t>
      </w:r>
      <w:r w:rsidRPr="002968C3">
        <w:rPr>
          <w:lang w:val="nl-NL"/>
        </w:rPr>
        <w:t>kruisje bij elke stelling.</w:t>
      </w:r>
    </w:p>
    <w:p w14:paraId="697C795D" w14:textId="77777777" w:rsidR="00884875" w:rsidRPr="002968C3" w:rsidRDefault="00884875">
      <w:pPr>
        <w:spacing w:after="180"/>
        <w:rPr>
          <w:lang w:val="nl-NL"/>
        </w:rPr>
      </w:pPr>
    </w:p>
    <w:tbl>
      <w:tblPr>
        <w:tblStyle w:val="a"/>
        <w:tblW w:w="9042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  <w:gridCol w:w="4365"/>
        <w:gridCol w:w="1063"/>
        <w:gridCol w:w="1063"/>
        <w:gridCol w:w="1063"/>
        <w:gridCol w:w="1063"/>
      </w:tblGrid>
      <w:tr w:rsidR="00884875" w:rsidRPr="002968C3" w14:paraId="7638654D" w14:textId="77777777">
        <w:tc>
          <w:tcPr>
            <w:tcW w:w="4791" w:type="dxa"/>
            <w:gridSpan w:val="2"/>
            <w:vAlign w:val="bottom"/>
          </w:tcPr>
          <w:p w14:paraId="6748DDB8" w14:textId="77777777" w:rsidR="00884875" w:rsidRDefault="00000000">
            <w:pPr>
              <w:spacing w:before="60" w:after="120"/>
            </w:pPr>
            <w:proofErr w:type="spellStart"/>
            <w:r>
              <w:rPr>
                <w:b/>
                <w:bCs/>
              </w:rPr>
              <w:t>Stellingen</w:t>
            </w:r>
            <w:proofErr w:type="spellEnd"/>
          </w:p>
        </w:tc>
        <w:tc>
          <w:tcPr>
            <w:tcW w:w="1063" w:type="dxa"/>
            <w:vAlign w:val="center"/>
          </w:tcPr>
          <w:p w14:paraId="716EBC20" w14:textId="77777777" w:rsidR="00884875" w:rsidRPr="002968C3" w:rsidRDefault="00000000">
            <w:pPr>
              <w:spacing w:before="60" w:after="60"/>
              <w:jc w:val="center"/>
              <w:rPr>
                <w:lang w:val="nl-NL"/>
              </w:rPr>
            </w:pPr>
            <w:r w:rsidRPr="002968C3">
              <w:rPr>
                <w:lang w:val="nl-NL"/>
              </w:rPr>
              <w:t xml:space="preserve">Ik </w:t>
            </w:r>
            <w:r w:rsidRPr="002968C3">
              <w:rPr>
                <w:b/>
                <w:bCs/>
                <w:lang w:val="nl-NL"/>
              </w:rPr>
              <w:t xml:space="preserve">weet </w:t>
            </w:r>
            <w:r w:rsidRPr="002968C3">
              <w:rPr>
                <w:lang w:val="nl-NL"/>
              </w:rPr>
              <w:t>zeker dat dit juist is</w:t>
            </w:r>
          </w:p>
        </w:tc>
        <w:tc>
          <w:tcPr>
            <w:tcW w:w="1063" w:type="dxa"/>
            <w:vAlign w:val="center"/>
          </w:tcPr>
          <w:p w14:paraId="40340120" w14:textId="77777777" w:rsidR="00884875" w:rsidRPr="002968C3" w:rsidRDefault="00000000">
            <w:pPr>
              <w:spacing w:before="60" w:after="60"/>
              <w:jc w:val="center"/>
              <w:rPr>
                <w:lang w:val="nl-NL"/>
              </w:rPr>
            </w:pPr>
            <w:r w:rsidRPr="002968C3">
              <w:rPr>
                <w:lang w:val="nl-NL"/>
              </w:rPr>
              <w:t xml:space="preserve">Ik </w:t>
            </w:r>
            <w:r w:rsidRPr="002968C3">
              <w:rPr>
                <w:b/>
                <w:bCs/>
                <w:lang w:val="nl-NL"/>
              </w:rPr>
              <w:t xml:space="preserve">denk </w:t>
            </w:r>
            <w:r w:rsidRPr="002968C3">
              <w:rPr>
                <w:lang w:val="nl-NL"/>
              </w:rPr>
              <w:t>dat dit juist is</w:t>
            </w:r>
          </w:p>
        </w:tc>
        <w:tc>
          <w:tcPr>
            <w:tcW w:w="1063" w:type="dxa"/>
            <w:vAlign w:val="center"/>
          </w:tcPr>
          <w:p w14:paraId="261BF8E0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 xml:space="preserve">Ik </w:t>
            </w:r>
            <w:r w:rsidRPr="002968C3">
              <w:rPr>
                <w:b/>
                <w:bCs/>
                <w:lang w:val="nl-NL"/>
              </w:rPr>
              <w:t xml:space="preserve">denk </w:t>
            </w:r>
            <w:r w:rsidRPr="002968C3">
              <w:rPr>
                <w:lang w:val="nl-NL"/>
              </w:rPr>
              <w:t>dat dit onjuist is</w:t>
            </w:r>
          </w:p>
        </w:tc>
        <w:tc>
          <w:tcPr>
            <w:tcW w:w="1063" w:type="dxa"/>
            <w:vAlign w:val="center"/>
          </w:tcPr>
          <w:p w14:paraId="1A277175" w14:textId="77777777" w:rsidR="00884875" w:rsidRPr="002968C3" w:rsidRDefault="00000000">
            <w:pPr>
              <w:spacing w:before="60" w:after="60"/>
              <w:jc w:val="center"/>
              <w:rPr>
                <w:lang w:val="nl-NL"/>
              </w:rPr>
            </w:pPr>
            <w:r w:rsidRPr="002968C3">
              <w:rPr>
                <w:lang w:val="nl-NL"/>
              </w:rPr>
              <w:t xml:space="preserve">Ik </w:t>
            </w:r>
            <w:r w:rsidRPr="002968C3">
              <w:rPr>
                <w:b/>
                <w:bCs/>
                <w:lang w:val="nl-NL"/>
              </w:rPr>
              <w:t xml:space="preserve">weet </w:t>
            </w:r>
            <w:r w:rsidRPr="002968C3">
              <w:rPr>
                <w:lang w:val="nl-NL"/>
              </w:rPr>
              <w:t>zeker dat dit onjuist is</w:t>
            </w:r>
          </w:p>
        </w:tc>
      </w:tr>
      <w:tr w:rsidR="00884875" w:rsidRPr="002968C3" w14:paraId="7759CB4B" w14:textId="77777777">
        <w:trPr>
          <w:trHeight w:val="680"/>
        </w:trPr>
        <w:tc>
          <w:tcPr>
            <w:tcW w:w="425" w:type="dxa"/>
            <w:vAlign w:val="center"/>
          </w:tcPr>
          <w:p w14:paraId="6C9325F8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366" w:type="dxa"/>
            <w:vAlign w:val="center"/>
          </w:tcPr>
          <w:p w14:paraId="6424839E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Bevruchting vindt plaats wanneer de spermacel de eicel ontmoet.</w:t>
            </w:r>
          </w:p>
        </w:tc>
        <w:tc>
          <w:tcPr>
            <w:tcW w:w="1063" w:type="dxa"/>
            <w:vAlign w:val="center"/>
          </w:tcPr>
          <w:p w14:paraId="67DA2D39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3805C1F8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4FEF0DE6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20F52359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  <w:tr w:rsidR="00884875" w:rsidRPr="002968C3" w14:paraId="411CF304" w14:textId="77777777">
        <w:trPr>
          <w:trHeight w:val="680"/>
        </w:trPr>
        <w:tc>
          <w:tcPr>
            <w:tcW w:w="425" w:type="dxa"/>
            <w:vAlign w:val="center"/>
          </w:tcPr>
          <w:p w14:paraId="4AD904C4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366" w:type="dxa"/>
            <w:vAlign w:val="center"/>
          </w:tcPr>
          <w:p w14:paraId="0298AB3F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Twee spermacellen kunnen één eicel bevruchten.</w:t>
            </w:r>
          </w:p>
        </w:tc>
        <w:tc>
          <w:tcPr>
            <w:tcW w:w="1063" w:type="dxa"/>
            <w:vAlign w:val="center"/>
          </w:tcPr>
          <w:p w14:paraId="35EE53C6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13109C24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7F42C6F3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3FD7491F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  <w:tr w:rsidR="00884875" w:rsidRPr="002968C3" w14:paraId="70E5F0F6" w14:textId="77777777">
        <w:trPr>
          <w:trHeight w:val="680"/>
        </w:trPr>
        <w:tc>
          <w:tcPr>
            <w:tcW w:w="425" w:type="dxa"/>
            <w:vAlign w:val="center"/>
          </w:tcPr>
          <w:p w14:paraId="0EA3C89B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366" w:type="dxa"/>
            <w:vAlign w:val="center"/>
          </w:tcPr>
          <w:p w14:paraId="3C53A838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Bevruchting vindt plaats wanneer het baarmoederslijmvlies op zijn dikst is.</w:t>
            </w:r>
          </w:p>
        </w:tc>
        <w:tc>
          <w:tcPr>
            <w:tcW w:w="1063" w:type="dxa"/>
            <w:vAlign w:val="center"/>
          </w:tcPr>
          <w:p w14:paraId="706931E0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0EAB4DCC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5CD4427B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56074B70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  <w:tr w:rsidR="00884875" w:rsidRPr="002968C3" w14:paraId="583948DA" w14:textId="77777777">
        <w:trPr>
          <w:trHeight w:val="680"/>
        </w:trPr>
        <w:tc>
          <w:tcPr>
            <w:tcW w:w="425" w:type="dxa"/>
            <w:vAlign w:val="center"/>
          </w:tcPr>
          <w:p w14:paraId="4059EF13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366" w:type="dxa"/>
            <w:vAlign w:val="center"/>
          </w:tcPr>
          <w:p w14:paraId="55358058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Identieke tweelingen kunnen van een verschillend geslacht zijn.</w:t>
            </w:r>
          </w:p>
        </w:tc>
        <w:tc>
          <w:tcPr>
            <w:tcW w:w="1063" w:type="dxa"/>
            <w:vAlign w:val="center"/>
          </w:tcPr>
          <w:p w14:paraId="0089A503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3B8C0CED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06D8B9B8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435969B6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  <w:tr w:rsidR="00884875" w:rsidRPr="002968C3" w14:paraId="39999081" w14:textId="77777777">
        <w:trPr>
          <w:trHeight w:val="680"/>
        </w:trPr>
        <w:tc>
          <w:tcPr>
            <w:tcW w:w="425" w:type="dxa"/>
            <w:vAlign w:val="center"/>
          </w:tcPr>
          <w:p w14:paraId="28ACB5F4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366" w:type="dxa"/>
            <w:vAlign w:val="center"/>
          </w:tcPr>
          <w:p w14:paraId="04CD148E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Er kan meer dan één eicel tegelijk bevrucht worden.</w:t>
            </w:r>
          </w:p>
        </w:tc>
        <w:tc>
          <w:tcPr>
            <w:tcW w:w="1063" w:type="dxa"/>
            <w:vAlign w:val="center"/>
          </w:tcPr>
          <w:p w14:paraId="4A9A46EE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1B9FECE8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61504EF4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60F1DC34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  <w:tr w:rsidR="00884875" w:rsidRPr="002968C3" w14:paraId="6683BB20" w14:textId="77777777">
        <w:trPr>
          <w:trHeight w:val="680"/>
        </w:trPr>
        <w:tc>
          <w:tcPr>
            <w:tcW w:w="425" w:type="dxa"/>
            <w:vAlign w:val="center"/>
          </w:tcPr>
          <w:p w14:paraId="534987FE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366" w:type="dxa"/>
            <w:vAlign w:val="center"/>
          </w:tcPr>
          <w:p w14:paraId="46F30107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Bevruchting is het moment waarop het DNA uit de kernen van de spermacel en de eicel samensmelten.</w:t>
            </w:r>
          </w:p>
        </w:tc>
        <w:tc>
          <w:tcPr>
            <w:tcW w:w="1063" w:type="dxa"/>
            <w:vAlign w:val="center"/>
          </w:tcPr>
          <w:p w14:paraId="737B36A4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58EC2E42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77B77D67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5552DA0B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  <w:tr w:rsidR="00884875" w:rsidRPr="002968C3" w14:paraId="617CFA50" w14:textId="77777777">
        <w:trPr>
          <w:trHeight w:val="680"/>
        </w:trPr>
        <w:tc>
          <w:tcPr>
            <w:tcW w:w="425" w:type="dxa"/>
            <w:vAlign w:val="center"/>
          </w:tcPr>
          <w:p w14:paraId="66AEA060" w14:textId="77777777" w:rsidR="00884875" w:rsidRDefault="00000000">
            <w:pPr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366" w:type="dxa"/>
            <w:vAlign w:val="center"/>
          </w:tcPr>
          <w:p w14:paraId="544B7657" w14:textId="77777777" w:rsidR="00884875" w:rsidRPr="002968C3" w:rsidRDefault="00000000">
            <w:pPr>
              <w:spacing w:before="60" w:after="60"/>
              <w:rPr>
                <w:lang w:val="nl-NL"/>
              </w:rPr>
            </w:pPr>
            <w:r w:rsidRPr="002968C3">
              <w:rPr>
                <w:lang w:val="nl-NL"/>
              </w:rPr>
              <w:t>Bevruchting en innesteling zijn hetzelfde.</w:t>
            </w:r>
          </w:p>
        </w:tc>
        <w:tc>
          <w:tcPr>
            <w:tcW w:w="1063" w:type="dxa"/>
            <w:vAlign w:val="center"/>
          </w:tcPr>
          <w:p w14:paraId="6E07BDEC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3A0DEA2A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42DD2898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  <w:tc>
          <w:tcPr>
            <w:tcW w:w="1063" w:type="dxa"/>
            <w:vAlign w:val="center"/>
          </w:tcPr>
          <w:p w14:paraId="396B392B" w14:textId="77777777" w:rsidR="00884875" w:rsidRPr="002968C3" w:rsidRDefault="00884875">
            <w:pPr>
              <w:spacing w:before="60" w:after="60"/>
              <w:jc w:val="center"/>
              <w:rPr>
                <w:lang w:val="nl-NL"/>
              </w:rPr>
            </w:pPr>
          </w:p>
        </w:tc>
      </w:tr>
    </w:tbl>
    <w:p w14:paraId="129BCB26" w14:textId="77777777" w:rsidR="00884875" w:rsidRPr="002968C3" w:rsidRDefault="00884875">
      <w:pPr>
        <w:spacing w:after="240"/>
        <w:rPr>
          <w:lang w:val="nl-NL"/>
        </w:rPr>
      </w:pPr>
    </w:p>
    <w:p w14:paraId="7DCD1C7C" w14:textId="77777777" w:rsidR="00884875" w:rsidRPr="002968C3" w:rsidRDefault="00884875">
      <w:pPr>
        <w:spacing w:after="240"/>
        <w:rPr>
          <w:lang w:val="nl-NL"/>
        </w:rPr>
        <w:sectPr w:rsidR="00884875" w:rsidRPr="002968C3">
          <w:headerReference w:type="default" r:id="rId9"/>
          <w:footerReference w:type="default" r:id="rId10"/>
          <w:pgSz w:w="11906" w:h="16838"/>
          <w:pgMar w:top="1440" w:right="1440" w:bottom="1440" w:left="1440" w:header="709" w:footer="567" w:gutter="0"/>
          <w:pgNumType w:start="1"/>
          <w:cols w:space="708"/>
        </w:sectPr>
      </w:pPr>
    </w:p>
    <w:p w14:paraId="26ADEEE3" w14:textId="77777777" w:rsidR="00884875" w:rsidRDefault="00000000">
      <w:pPr>
        <w:spacing w:after="180"/>
        <w:rPr>
          <w:highlight w:val="yellow"/>
        </w:rPr>
      </w:pPr>
      <w:bookmarkStart w:id="0" w:name="_heading=h.kjq8j92z98ei" w:colFirst="0" w:colLast="0"/>
      <w:bookmarkEnd w:id="0"/>
      <w:proofErr w:type="spellStart"/>
      <w:r>
        <w:rPr>
          <w:b/>
          <w:bCs/>
          <w:color w:val="538135"/>
          <w:sz w:val="24"/>
          <w:szCs w:val="24"/>
        </w:rPr>
        <w:lastRenderedPageBreak/>
        <w:t>Gebruik</w:t>
      </w:r>
      <w:proofErr w:type="spellEnd"/>
      <w:r>
        <w:rPr>
          <w:b/>
          <w:bCs/>
          <w:color w:val="538135"/>
          <w:sz w:val="24"/>
          <w:szCs w:val="24"/>
        </w:rPr>
        <w:t xml:space="preserve"> van de </w:t>
      </w:r>
      <w:proofErr w:type="spellStart"/>
      <w:r>
        <w:rPr>
          <w:b/>
          <w:bCs/>
          <w:color w:val="538135"/>
          <w:sz w:val="24"/>
          <w:szCs w:val="24"/>
        </w:rPr>
        <w:t>opdracht</w:t>
      </w:r>
      <w:proofErr w:type="spellEnd"/>
    </w:p>
    <w:p w14:paraId="79B23521" w14:textId="77777777" w:rsidR="00884875" w:rsidRPr="002968C3" w:rsidRDefault="00000000">
      <w:pPr>
        <w:spacing w:after="120"/>
        <w:rPr>
          <w:lang w:val="nl-NL"/>
        </w:rPr>
      </w:pPr>
      <w:r w:rsidRPr="002968C3">
        <w:rPr>
          <w:lang w:val="nl-NL"/>
        </w:rPr>
        <w:t>Leerlingen moeten de tabel individueel invullen.</w:t>
      </w:r>
    </w:p>
    <w:p w14:paraId="44AD3BCF" w14:textId="77777777" w:rsidR="00884875" w:rsidRDefault="00000000">
      <w:pPr>
        <w:spacing w:after="180"/>
        <w:rPr>
          <w:b/>
          <w:bCs/>
          <w:color w:val="538135"/>
          <w:sz w:val="24"/>
          <w:szCs w:val="24"/>
        </w:rPr>
      </w:pPr>
      <w:proofErr w:type="spellStart"/>
      <w:r>
        <w:rPr>
          <w:b/>
          <w:bCs/>
          <w:color w:val="538135"/>
          <w:sz w:val="24"/>
          <w:szCs w:val="24"/>
        </w:rPr>
        <w:t>Antwoorden</w:t>
      </w:r>
      <w:proofErr w:type="spellEnd"/>
    </w:p>
    <w:p w14:paraId="44DC41C0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Bevruchting vindt plaats wanneer de spermacel de eicel ontmoet – </w:t>
      </w:r>
      <w:r w:rsidRPr="002968C3">
        <w:rPr>
          <w:b/>
          <w:bCs/>
          <w:lang w:val="nl-NL"/>
        </w:rPr>
        <w:t xml:space="preserve">ONJUIST </w:t>
      </w:r>
      <w:r w:rsidRPr="002968C3">
        <w:rPr>
          <w:lang w:val="nl-NL"/>
        </w:rPr>
        <w:t>– vele duizenden spermacellen zullen de eicel bereiken, maar slechts één zal de eicel succesvol binnendringen en bevruchten.</w:t>
      </w:r>
    </w:p>
    <w:p w14:paraId="50D33C83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Twee spermacellen kunnen één eicel bevruchten – </w:t>
      </w:r>
      <w:r w:rsidRPr="002968C3">
        <w:rPr>
          <w:b/>
          <w:bCs/>
          <w:lang w:val="nl-NL"/>
        </w:rPr>
        <w:t xml:space="preserve">ONJUIST </w:t>
      </w:r>
      <w:r w:rsidRPr="002968C3">
        <w:rPr>
          <w:lang w:val="nl-NL"/>
        </w:rPr>
        <w:t xml:space="preserve">– zodra een spermacel de eicel is binnengegaan, verhardt de </w:t>
      </w:r>
      <w:proofErr w:type="spellStart"/>
      <w:r w:rsidRPr="002968C3">
        <w:rPr>
          <w:lang w:val="nl-NL"/>
        </w:rPr>
        <w:t>buitenlaag</w:t>
      </w:r>
      <w:proofErr w:type="spellEnd"/>
      <w:r w:rsidRPr="002968C3">
        <w:rPr>
          <w:lang w:val="nl-NL"/>
        </w:rPr>
        <w:t xml:space="preserve"> van de eicel om te voorkomen dat er extra spermacellen binnendringen.</w:t>
      </w:r>
    </w:p>
    <w:p w14:paraId="52C55EA8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Bevruchting vindt plaats wanneer het baarmoederslijmvlies op zijn dikst is – </w:t>
      </w:r>
      <w:r w:rsidRPr="002968C3">
        <w:rPr>
          <w:b/>
          <w:bCs/>
          <w:lang w:val="nl-NL"/>
        </w:rPr>
        <w:t xml:space="preserve">ONJUIST </w:t>
      </w:r>
      <w:r w:rsidRPr="002968C3">
        <w:rPr>
          <w:lang w:val="nl-NL"/>
        </w:rPr>
        <w:t>– het slijmvlies zal dik zijn, maar niet noodzakelijkerwijs op zijn dikst; bevruchting vindt plaats vlak na de ovulatie terwijl het slijmvlies nog dikker wordt.</w:t>
      </w:r>
    </w:p>
    <w:p w14:paraId="78CD308A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Identieke tweelingen kunnen van een verschillend geslacht zijn – </w:t>
      </w:r>
      <w:r w:rsidRPr="002968C3">
        <w:rPr>
          <w:b/>
          <w:bCs/>
          <w:lang w:val="nl-NL"/>
        </w:rPr>
        <w:t xml:space="preserve">ONJUIST </w:t>
      </w:r>
      <w:r w:rsidRPr="002968C3">
        <w:rPr>
          <w:lang w:val="nl-NL"/>
        </w:rPr>
        <w:t>– als een tweeling identiek is, zijn ze van hetzelfde geslacht.</w:t>
      </w:r>
    </w:p>
    <w:p w14:paraId="72CC1258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Er kan meer dan één eicel tegelijk bevrucht worden – </w:t>
      </w:r>
      <w:r w:rsidRPr="002968C3">
        <w:rPr>
          <w:b/>
          <w:bCs/>
          <w:lang w:val="nl-NL"/>
        </w:rPr>
        <w:t xml:space="preserve">JUIST </w:t>
      </w:r>
      <w:r w:rsidRPr="002968C3">
        <w:rPr>
          <w:lang w:val="nl-NL"/>
        </w:rPr>
        <w:t>– meerling geboorten komen voor, hoewel ze minder gebruikelijk zijn.</w:t>
      </w:r>
    </w:p>
    <w:p w14:paraId="19E8AFAF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Bevruchting is wanneer het DNA uit de kernen van de spermacel en de eicel samensmelten – </w:t>
      </w:r>
      <w:r w:rsidRPr="002968C3">
        <w:rPr>
          <w:b/>
          <w:bCs/>
          <w:lang w:val="nl-NL"/>
        </w:rPr>
        <w:t xml:space="preserve">JUIST </w:t>
      </w:r>
      <w:r w:rsidRPr="002968C3">
        <w:rPr>
          <w:lang w:val="nl-NL"/>
        </w:rPr>
        <w:t>– voorheen leerden we dat het is wanneer de spermacel de eicel binnendringt, maar met het oog op nieuwe technologieën is deze definitie logischer.</w:t>
      </w:r>
    </w:p>
    <w:p w14:paraId="0EA88DD7" w14:textId="77777777" w:rsidR="00884875" w:rsidRPr="002968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5" w:hanging="357"/>
        <w:rPr>
          <w:lang w:val="nl-NL"/>
        </w:rPr>
      </w:pPr>
      <w:r w:rsidRPr="002968C3">
        <w:rPr>
          <w:lang w:val="nl-NL"/>
        </w:rPr>
        <w:t xml:space="preserve">Bevruchting en innesteling zijn hetzelfde – </w:t>
      </w:r>
      <w:r w:rsidRPr="002968C3">
        <w:rPr>
          <w:b/>
          <w:bCs/>
          <w:lang w:val="nl-NL"/>
        </w:rPr>
        <w:t xml:space="preserve">ONJUIST </w:t>
      </w:r>
      <w:r w:rsidRPr="002968C3">
        <w:rPr>
          <w:lang w:val="nl-NL"/>
        </w:rPr>
        <w:t>– de innesteling vindt plaats na de bevruchting wanneer het embryo zich al wat verder heeft ontwikkeld; deze gebeurtenissen vinden ook op verschillende plaatsen plaats.</w:t>
      </w:r>
    </w:p>
    <w:p w14:paraId="73562C99" w14:textId="77777777" w:rsidR="00884875" w:rsidRPr="002968C3" w:rsidRDefault="00000000">
      <w:pPr>
        <w:spacing w:after="180"/>
        <w:rPr>
          <w:lang w:val="nl-NL"/>
        </w:rPr>
      </w:pPr>
      <w:r w:rsidRPr="002968C3">
        <w:rPr>
          <w:b/>
          <w:bCs/>
          <w:color w:val="538135"/>
          <w:sz w:val="24"/>
          <w:szCs w:val="24"/>
          <w:lang w:val="nl-NL"/>
        </w:rPr>
        <w:t>Vervolg</w:t>
      </w:r>
    </w:p>
    <w:p w14:paraId="4BF9CBF6" w14:textId="77777777" w:rsidR="00884875" w:rsidRPr="002968C3" w:rsidRDefault="00000000">
      <w:pPr>
        <w:spacing w:after="180"/>
        <w:rPr>
          <w:lang w:val="nl-NL"/>
        </w:rPr>
      </w:pPr>
      <w:bookmarkStart w:id="1" w:name="_heading=h.edqwxe6s2le" w:colFirst="0" w:colLast="0"/>
      <w:bookmarkEnd w:id="1"/>
      <w:r w:rsidRPr="002968C3">
        <w:rPr>
          <w:lang w:val="nl-NL"/>
        </w:rPr>
        <w:t>Bij misverstanden over het proces of de volgorde van gebeurtenissen kunnen video's helpen om het proces te visualiseren.</w:t>
      </w:r>
    </w:p>
    <w:p w14:paraId="4912893D" w14:textId="77777777" w:rsidR="00884875" w:rsidRDefault="00000000">
      <w:pPr>
        <w:spacing w:after="180"/>
      </w:pPr>
      <w:r>
        <w:t>Fertilization - Nucleus medical Media</w:t>
      </w:r>
    </w:p>
    <w:p w14:paraId="6727C013" w14:textId="77777777" w:rsidR="00884875" w:rsidRDefault="00000000">
      <w:pPr>
        <w:spacing w:after="180"/>
        <w:rPr>
          <w:highlight w:val="yellow"/>
        </w:rPr>
      </w:pPr>
      <w:hyperlink r:id="rId11">
        <w:r>
          <w:rPr>
            <w:color w:val="0000FF"/>
            <w:u w:val="single"/>
          </w:rPr>
          <w:t>https://www.youtube.com/watch?v=_5OvgQW6FG4</w:t>
        </w:r>
      </w:hyperlink>
    </w:p>
    <w:p w14:paraId="7B008DB6" w14:textId="77777777" w:rsidR="00884875" w:rsidRDefault="00000000">
      <w:pPr>
        <w:spacing w:after="180"/>
        <w:rPr>
          <w:b/>
          <w:bCs/>
          <w:color w:val="538135"/>
          <w:sz w:val="24"/>
          <w:szCs w:val="24"/>
        </w:rPr>
      </w:pPr>
      <w:proofErr w:type="spellStart"/>
      <w:r>
        <w:rPr>
          <w:b/>
          <w:bCs/>
          <w:color w:val="538135"/>
          <w:sz w:val="24"/>
          <w:szCs w:val="24"/>
        </w:rPr>
        <w:t>Bijdragen</w:t>
      </w:r>
      <w:proofErr w:type="spellEnd"/>
    </w:p>
    <w:p w14:paraId="5F498623" w14:textId="77777777" w:rsidR="00884875" w:rsidRDefault="00000000">
      <w:pPr>
        <w:spacing w:after="180"/>
      </w:pPr>
      <w:r>
        <w:t>Developed by Elizabeth Lupton (UYSEG)</w:t>
      </w:r>
    </w:p>
    <w:p w14:paraId="22ABD2D8" w14:textId="77777777" w:rsidR="00884875" w:rsidRDefault="00000000">
      <w:pPr>
        <w:spacing w:after="180"/>
      </w:pPr>
      <w:r>
        <w:t>Images: pixabay.com/</w:t>
      </w:r>
      <w:proofErr w:type="spellStart"/>
      <w:r>
        <w:t>sasint</w:t>
      </w:r>
      <w:proofErr w:type="spellEnd"/>
      <w:r>
        <w:t xml:space="preserve"> (1822497)</w:t>
      </w:r>
    </w:p>
    <w:p w14:paraId="34C4720D" w14:textId="77777777" w:rsidR="00884875" w:rsidRDefault="00000000">
      <w:pPr>
        <w:spacing w:after="180"/>
        <w:rPr>
          <w:b/>
          <w:bCs/>
          <w:color w:val="538135"/>
          <w:sz w:val="24"/>
          <w:szCs w:val="24"/>
        </w:rPr>
      </w:pPr>
      <w:r>
        <w:rPr>
          <w:b/>
          <w:bCs/>
          <w:color w:val="538135"/>
          <w:sz w:val="24"/>
          <w:szCs w:val="24"/>
        </w:rPr>
        <w:t>Bronnen</w:t>
      </w:r>
    </w:p>
    <w:p w14:paraId="6F581E6F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Bernstein, A. C. and Cowan, P. A. (1975). Children's concepts of how people get babies. </w:t>
      </w:r>
      <w:r>
        <w:rPr>
          <w:i/>
          <w:iCs/>
          <w:color w:val="000000"/>
          <w:sz w:val="20"/>
          <w:szCs w:val="20"/>
        </w:rPr>
        <w:t>Child Development,</w:t>
      </w:r>
      <w:r>
        <w:rPr>
          <w:color w:val="000000"/>
          <w:sz w:val="20"/>
          <w:szCs w:val="20"/>
        </w:rPr>
        <w:t xml:space="preserve"> 46</w:t>
      </w:r>
      <w:r>
        <w:rPr>
          <w:b/>
          <w:bCs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77-91.</w:t>
      </w:r>
    </w:p>
    <w:p w14:paraId="22946DA1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Carey, S. (1985). </w:t>
      </w:r>
      <w:r>
        <w:rPr>
          <w:i/>
          <w:iCs/>
          <w:color w:val="000000"/>
          <w:sz w:val="20"/>
          <w:szCs w:val="20"/>
        </w:rPr>
        <w:t xml:space="preserve">Conceptual change in childhood, </w:t>
      </w:r>
      <w:r>
        <w:rPr>
          <w:color w:val="000000"/>
          <w:sz w:val="20"/>
          <w:szCs w:val="20"/>
        </w:rPr>
        <w:t>Cambridge, Massachusetts: Massachusetts Institute of Technology Press.</w:t>
      </w:r>
    </w:p>
    <w:p w14:paraId="333E8325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Driver, R., et al. (1994). </w:t>
      </w:r>
      <w:r>
        <w:rPr>
          <w:i/>
          <w:iCs/>
          <w:color w:val="000000"/>
          <w:sz w:val="20"/>
          <w:szCs w:val="20"/>
        </w:rPr>
        <w:t xml:space="preserve">Making Sense of Secondary Science: Research into Children's Ideas, </w:t>
      </w:r>
      <w:r>
        <w:rPr>
          <w:color w:val="000000"/>
          <w:sz w:val="20"/>
          <w:szCs w:val="20"/>
        </w:rPr>
        <w:t>London, UK: Routledge.</w:t>
      </w:r>
    </w:p>
    <w:p w14:paraId="0039EB20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Engel Clough, E. and Wood-Robinson, C. (1985). Children's understanding of inheritance. </w:t>
      </w:r>
      <w:r>
        <w:rPr>
          <w:i/>
          <w:iCs/>
          <w:color w:val="000000"/>
          <w:sz w:val="20"/>
          <w:szCs w:val="20"/>
        </w:rPr>
        <w:t>Journal of Biological Education,</w:t>
      </w:r>
      <w:r>
        <w:rPr>
          <w:color w:val="000000"/>
          <w:sz w:val="20"/>
          <w:szCs w:val="20"/>
        </w:rPr>
        <w:t xml:space="preserve"> 19(4)</w:t>
      </w:r>
      <w:r>
        <w:rPr>
          <w:b/>
          <w:bCs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304-10.</w:t>
      </w:r>
    </w:p>
    <w:p w14:paraId="48FDE572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Goldman, R. J. and Goldman, J. D. G. (1982). How children perceive the origin of babies and the roles of mothers and fathers in procreation: a cross-national study. </w:t>
      </w:r>
      <w:r>
        <w:rPr>
          <w:i/>
          <w:iCs/>
          <w:color w:val="000000"/>
          <w:sz w:val="20"/>
          <w:szCs w:val="20"/>
        </w:rPr>
        <w:t>Child Development,</w:t>
      </w:r>
      <w:r>
        <w:rPr>
          <w:color w:val="000000"/>
          <w:sz w:val="20"/>
          <w:szCs w:val="20"/>
        </w:rPr>
        <w:t xml:space="preserve"> 53</w:t>
      </w:r>
      <w:r>
        <w:rPr>
          <w:b/>
          <w:bCs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491-504.</w:t>
      </w:r>
    </w:p>
    <w:p w14:paraId="4F581072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Hurwitz, L. B., et al. (2017). "When You're a Baby You Don't Have Puberty": Understanding of Puberty and Human Reproduction in Late Childhood and Early Adolescence. </w:t>
      </w:r>
      <w:r>
        <w:rPr>
          <w:i/>
          <w:iCs/>
          <w:color w:val="000000"/>
          <w:sz w:val="20"/>
          <w:szCs w:val="20"/>
        </w:rPr>
        <w:t>Journal of Early Adolescence,</w:t>
      </w:r>
      <w:r>
        <w:rPr>
          <w:color w:val="000000"/>
          <w:sz w:val="20"/>
          <w:szCs w:val="20"/>
        </w:rPr>
        <w:t xml:space="preserve"> 37(7)</w:t>
      </w:r>
      <w:r>
        <w:rPr>
          <w:b/>
          <w:bCs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925-947.</w:t>
      </w:r>
    </w:p>
    <w:p w14:paraId="007BB8F7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Vlaardingerbroek</w:t>
      </w:r>
      <w:proofErr w:type="spellEnd"/>
      <w:r>
        <w:rPr>
          <w:color w:val="000000"/>
          <w:sz w:val="20"/>
          <w:szCs w:val="20"/>
        </w:rPr>
        <w:t xml:space="preserve">, B. (2018). Challenges to Biology Education from New Reproductive Technologies. </w:t>
      </w:r>
      <w:r>
        <w:rPr>
          <w:i/>
          <w:iCs/>
          <w:color w:val="000000"/>
          <w:sz w:val="20"/>
          <w:szCs w:val="20"/>
        </w:rPr>
        <w:t>Journal of Biological Education,</w:t>
      </w:r>
      <w:r>
        <w:rPr>
          <w:color w:val="000000"/>
          <w:sz w:val="20"/>
          <w:szCs w:val="20"/>
        </w:rPr>
        <w:t xml:space="preserve"> 52(2)</w:t>
      </w:r>
      <w:r>
        <w:rPr>
          <w:b/>
          <w:bCs/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231-234.</w:t>
      </w:r>
    </w:p>
    <w:p w14:paraId="25737D27" w14:textId="77777777" w:rsidR="00884875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Yip, D.-y. and Din Yan, Y. (1998). Children's misconceptions on reproduction and implications for teaching. United Kingdom.</w:t>
      </w:r>
    </w:p>
    <w:p w14:paraId="5A94F518" w14:textId="77777777" w:rsidR="00884875" w:rsidRDefault="00884875">
      <w:pPr>
        <w:spacing w:after="120"/>
      </w:pPr>
    </w:p>
    <w:sectPr w:rsidR="00884875">
      <w:headerReference w:type="default" r:id="rId12"/>
      <w:footerReference w:type="default" r:id="rId13"/>
      <w:pgSz w:w="11906" w:h="16838"/>
      <w:pgMar w:top="1440" w:right="1440" w:bottom="1440" w:left="1440" w:header="709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4309C" w14:textId="77777777" w:rsidR="00A97315" w:rsidRDefault="00A97315">
      <w:r>
        <w:separator/>
      </w:r>
    </w:p>
  </w:endnote>
  <w:endnote w:type="continuationSeparator" w:id="0">
    <w:p w14:paraId="561A27D0" w14:textId="77777777" w:rsidR="00A97315" w:rsidRDefault="00A9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C2678D-B6A4-4478-9FB1-CD79BFAF21A4}"/>
    <w:embedBold r:id="rId2" w:fontKey="{26F5CC0B-CB54-4FC5-A18E-556B12EA3296}"/>
    <w:embedItalic r:id="rId3" w:fontKey="{FB116E80-250C-416B-8310-D419B0E5D5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7CFA4748-B20B-4C51-98CB-57C1C1F4BBAD}"/>
  </w:font>
  <w:font w:name="Georgia">
    <w:panose1 w:val="02040502050405020303"/>
    <w:charset w:val="00"/>
    <w:family w:val="auto"/>
    <w:pitch w:val="default"/>
    <w:embedItalic r:id="rId5" w:fontKey="{06AC2ED9-278D-460A-8F18-F6E88546CC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0C52C67-D2F7-47BC-8DC3-CE44921E3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F3A4C" w14:textId="77777777" w:rsidR="00884875" w:rsidRDefault="00000000">
    <w:pPr>
      <w:tabs>
        <w:tab w:val="center" w:pos="4513"/>
        <w:tab w:val="right" w:pos="9026"/>
      </w:tabs>
      <w:rPr>
        <w:sz w:val="16"/>
        <w:szCs w:val="16"/>
      </w:rPr>
    </w:pPr>
    <w:proofErr w:type="spellStart"/>
    <w:r>
      <w:rPr>
        <w:sz w:val="16"/>
        <w:szCs w:val="16"/>
      </w:rPr>
      <w:t>Ontworpen</w:t>
    </w:r>
    <w:proofErr w:type="spellEnd"/>
    <w:r>
      <w:rPr>
        <w:sz w:val="16"/>
        <w:szCs w:val="16"/>
      </w:rPr>
      <w:t xml:space="preserve"> door University of York Science Education Group and the Salters’ Institute. </w:t>
    </w:r>
    <w:r w:rsidRPr="002968C3">
      <w:rPr>
        <w:sz w:val="16"/>
        <w:szCs w:val="16"/>
        <w:lang w:val="nl-NL"/>
      </w:rPr>
      <w:t xml:space="preserve">Dit document is bewerkt en vertaald door de NVON. Download het origineel op www.BestEvidenceScienceTeaching.org © University of York Science Education Group. </w:t>
    </w:r>
    <w:r>
      <w:rPr>
        <w:sz w:val="16"/>
        <w:szCs w:val="16"/>
      </w:rPr>
      <w:t>Distributed under a Creative Commons Attribution-</w:t>
    </w:r>
    <w:proofErr w:type="spellStart"/>
    <w:r>
      <w:rPr>
        <w:sz w:val="16"/>
        <w:szCs w:val="16"/>
      </w:rPr>
      <w:t>NonCommercial</w:t>
    </w:r>
    <w:proofErr w:type="spellEnd"/>
    <w:r>
      <w:rPr>
        <w:sz w:val="16"/>
        <w:szCs w:val="16"/>
      </w:rPr>
      <w:t xml:space="preserve"> (CC BY-NC) license.</w:t>
    </w:r>
  </w:p>
  <w:p w14:paraId="285C4183" w14:textId="77777777" w:rsidR="00884875" w:rsidRDefault="008848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D5D2" w14:textId="77777777" w:rsidR="008848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proofErr w:type="spellStart"/>
    <w:r>
      <w:rPr>
        <w:sz w:val="16"/>
        <w:szCs w:val="16"/>
      </w:rPr>
      <w:t>Ontworpen</w:t>
    </w:r>
    <w:proofErr w:type="spellEnd"/>
    <w:r>
      <w:rPr>
        <w:sz w:val="16"/>
        <w:szCs w:val="16"/>
      </w:rPr>
      <w:t xml:space="preserve"> door University of York Science Education Group and the Salters’ Institute. </w:t>
    </w:r>
    <w:r w:rsidRPr="002968C3">
      <w:rPr>
        <w:sz w:val="16"/>
        <w:szCs w:val="16"/>
        <w:lang w:val="nl-NL"/>
      </w:rPr>
      <w:t xml:space="preserve">Dit document is bewerkt en vertaald door de NVON. Download het origineel op www.BestEvidenceScienceTeaching.org © University of York Science Education Group. </w:t>
    </w:r>
    <w:r>
      <w:rPr>
        <w:sz w:val="16"/>
        <w:szCs w:val="16"/>
      </w:rPr>
      <w:t>Distributed under a Creative Commons Attribution-</w:t>
    </w:r>
    <w:proofErr w:type="spellStart"/>
    <w:r>
      <w:rPr>
        <w:sz w:val="16"/>
        <w:szCs w:val="16"/>
      </w:rPr>
      <w:t>NonCommercial</w:t>
    </w:r>
    <w:proofErr w:type="spellEnd"/>
    <w:r>
      <w:rPr>
        <w:sz w:val="16"/>
        <w:szCs w:val="16"/>
      </w:rPr>
      <w:t xml:space="preserve"> (CC BY-NC) license.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255ED" w14:textId="77777777" w:rsidR="00A97315" w:rsidRDefault="00A97315">
      <w:r>
        <w:separator/>
      </w:r>
    </w:p>
  </w:footnote>
  <w:footnote w:type="continuationSeparator" w:id="0">
    <w:p w14:paraId="1E95D27C" w14:textId="77777777" w:rsidR="00A97315" w:rsidRDefault="00A9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566BB" w14:textId="77777777" w:rsidR="008848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3407" w:firstLine="3255"/>
      <w:rPr>
        <w:b/>
        <w:bCs/>
        <w:color w:val="000000"/>
        <w:sz w:val="24"/>
        <w:szCs w:val="24"/>
      </w:rPr>
    </w:pPr>
    <w:r>
      <w:rPr>
        <w:b/>
        <w:bCs/>
        <w:sz w:val="24"/>
        <w:szCs w:val="24"/>
      </w:rPr>
      <w:t>WERKBLAD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C46283" wp14:editId="54041042">
          <wp:simplePos x="0" y="0"/>
          <wp:positionH relativeFrom="column">
            <wp:posOffset>-9524</wp:posOffset>
          </wp:positionH>
          <wp:positionV relativeFrom="paragraph">
            <wp:posOffset>-177164</wp:posOffset>
          </wp:positionV>
          <wp:extent cx="867600" cy="363600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3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3AF0978F" wp14:editId="3AF30BC9">
              <wp:simplePos x="0" y="0"/>
              <wp:positionH relativeFrom="column">
                <wp:posOffset>-914399</wp:posOffset>
              </wp:positionH>
              <wp:positionV relativeFrom="paragraph">
                <wp:posOffset>262890</wp:posOffset>
              </wp:positionV>
              <wp:extent cx="0" cy="12700"/>
              <wp:effectExtent l="0" t="0" r="0" b="0"/>
              <wp:wrapNone/>
              <wp:docPr id="10" name="Rechte verbindingslijn met pij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59813" y="3780000"/>
                        <a:ext cx="757237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262890</wp:posOffset>
              </wp:positionV>
              <wp:extent cx="0" cy="12700"/>
              <wp:effectExtent b="0" l="0" r="0" t="0"/>
              <wp:wrapNone/>
              <wp:docPr id="10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AE582" w14:textId="77777777" w:rsidR="008848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3407"/>
      <w:rPr>
        <w:b/>
        <w:bCs/>
        <w:color w:val="000000"/>
        <w:sz w:val="24"/>
        <w:szCs w:val="24"/>
      </w:rPr>
    </w:pPr>
    <w:r>
      <w:rPr>
        <w:b/>
        <w:bCs/>
        <w:sz w:val="24"/>
        <w:szCs w:val="24"/>
      </w:rPr>
      <w:tab/>
    </w:r>
    <w:r>
      <w:rPr>
        <w:b/>
        <w:bCs/>
        <w:sz w:val="24"/>
        <w:szCs w:val="24"/>
      </w:rPr>
      <w:tab/>
      <w:t>DOCENTENHANDLEIDING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917F8C3" wp14:editId="47AF030B">
          <wp:simplePos x="0" y="0"/>
          <wp:positionH relativeFrom="column">
            <wp:posOffset>-9524</wp:posOffset>
          </wp:positionH>
          <wp:positionV relativeFrom="paragraph">
            <wp:posOffset>-177164</wp:posOffset>
          </wp:positionV>
          <wp:extent cx="867600" cy="363600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363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hidden="0" allowOverlap="1" wp14:anchorId="20148B4C" wp14:editId="4F30B554">
              <wp:simplePos x="0" y="0"/>
              <wp:positionH relativeFrom="column">
                <wp:posOffset>-914399</wp:posOffset>
              </wp:positionH>
              <wp:positionV relativeFrom="paragraph">
                <wp:posOffset>262890</wp:posOffset>
              </wp:positionV>
              <wp:extent cx="0" cy="12700"/>
              <wp:effectExtent l="0" t="0" r="0" b="0"/>
              <wp:wrapNone/>
              <wp:docPr id="11" name="Rechte verbindingslijn met pijl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59813" y="3780000"/>
                        <a:ext cx="757237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262890</wp:posOffset>
              </wp:positionV>
              <wp:extent cx="0" cy="12700"/>
              <wp:effectExtent b="0" l="0" r="0" t="0"/>
              <wp:wrapNone/>
              <wp:docPr id="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D7938"/>
    <w:multiLevelType w:val="multilevel"/>
    <w:tmpl w:val="8F6814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49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75"/>
    <w:rsid w:val="002968C3"/>
    <w:rsid w:val="00884875"/>
    <w:rsid w:val="00896AB9"/>
    <w:rsid w:val="00A9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51E8D"/>
  <w15:docId w15:val="{82F4A9E6-4C93-4462-AE7B-4B193B115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Koptekst">
    <w:name w:val="header"/>
    <w:basedOn w:val="Standaard"/>
    <w:link w:val="KoptekstChar"/>
    <w:uiPriority w:val="99"/>
    <w:unhideWhenUsed/>
    <w:rsid w:val="000B473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473B"/>
    <w:rPr>
      <w:rFonts w:cs="Arial"/>
    </w:rPr>
  </w:style>
  <w:style w:type="paragraph" w:styleId="Voettekst">
    <w:name w:val="footer"/>
    <w:basedOn w:val="Standaard"/>
    <w:link w:val="VoettekstChar"/>
    <w:uiPriority w:val="99"/>
    <w:unhideWhenUsed/>
    <w:rsid w:val="000B473B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473B"/>
    <w:rPr>
      <w:rFonts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B473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473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E17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172C6"/>
    <w:pPr>
      <w:ind w:left="720"/>
      <w:contextualSpacing/>
    </w:pPr>
  </w:style>
  <w:style w:type="paragraph" w:customStyle="1" w:styleId="EndNoteBibliographyTitle">
    <w:name w:val="EndNote Bibliography Title"/>
    <w:basedOn w:val="Standaard"/>
    <w:link w:val="EndNoteBibliographyTitleChar"/>
    <w:rsid w:val="00F76D75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F76D7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ard"/>
    <w:link w:val="EndNoteBibliographyChar"/>
    <w:rsid w:val="00F76D75"/>
    <w:rPr>
      <w:noProof/>
      <w:lang w:val="en-US"/>
    </w:rPr>
  </w:style>
  <w:style w:type="character" w:customStyle="1" w:styleId="EndNoteBibliographyChar">
    <w:name w:val="EndNote Bibliography Char"/>
    <w:basedOn w:val="Standaardalinea-lettertype"/>
    <w:link w:val="EndNoteBibliography"/>
    <w:rsid w:val="00F76D75"/>
    <w:rPr>
      <w:rFonts w:ascii="Calibri" w:hAnsi="Calibri" w:cs="Calibri"/>
      <w:noProof/>
      <w:lang w:val="en-US"/>
    </w:rPr>
  </w:style>
  <w:style w:type="character" w:styleId="Hyperlink">
    <w:name w:val="Hyperlink"/>
    <w:basedOn w:val="Standaardalinea-lettertype"/>
    <w:uiPriority w:val="99"/>
    <w:semiHidden/>
    <w:unhideWhenUsed/>
    <w:rsid w:val="0010164D"/>
    <w:rPr>
      <w:color w:val="0000FF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Standaardtabel"/>
    <w:tblPr>
      <w:tblStyleRowBandSize w:val="1"/>
      <w:tblStyleColBandSize w:val="1"/>
    </w:tblPr>
  </w:style>
  <w:style w:type="table" w:customStyle="1" w:styleId="a0">
    <w:basedOn w:val="Standaardtabe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_5OvgQW6FG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+Hay+1WnWWr4TUn+/lQrZ1K1tQ==">CgMxLjAyDmgua2pxOGo5Mno5OGVpMg1oLmVkcXd4ZTZzMmxlOAByITFKajNVMGoxR1NBaWxpNFJPZ0E5QVZ1WDh6ZWphR29rMw==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3229</Characters>
  <Application>Microsoft Office Word</Application>
  <DocSecurity>0</DocSecurity>
  <Lines>26</Lines>
  <Paragraphs>7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Lupton</dc:creator>
  <cp:lastModifiedBy>Joska de Kroon</cp:lastModifiedBy>
  <cp:revision>2</cp:revision>
  <dcterms:created xsi:type="dcterms:W3CDTF">2019-08-20T10:34:00Z</dcterms:created>
  <dcterms:modified xsi:type="dcterms:W3CDTF">2026-02-27T07:32:00Z</dcterms:modified>
</cp:coreProperties>
</file>